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aspects of RRM requirements enhancement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5.9.2.3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9"/>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9"/>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9"/>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9"/>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In RAN4#105 meeting, the following agreements achieved in [2].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rPr>
                <w:rFonts w:hint="eastAsia"/>
                <w:b/>
                <w:bCs/>
                <w:lang w:val="en-US" w:eastAsia="ko-KR"/>
              </w:rPr>
            </w:pPr>
            <w:r>
              <w:rPr>
                <w:rFonts w:hint="eastAsia"/>
                <w:b/>
                <w:bCs/>
                <w:lang w:val="en-US" w:eastAsia="ko-KR"/>
              </w:rPr>
              <w:t>Issue 3-1-4: Applying the timing/beam information of active serving cell on FR2 inter-band</w:t>
            </w:r>
          </w:p>
          <w:p>
            <w:pPr>
              <w:pStyle w:val="29"/>
              <w:numPr>
                <w:ilvl w:val="0"/>
                <w:numId w:val="0"/>
              </w:numPr>
              <w:overflowPunct/>
              <w:autoSpaceDE/>
              <w:autoSpaceDN/>
              <w:adjustRightInd/>
              <w:spacing w:after="120"/>
              <w:textAlignment w:val="auto"/>
              <w:rPr>
                <w:rFonts w:eastAsia="宋体"/>
                <w:szCs w:val="24"/>
                <w:lang w:eastAsia="zh-CN"/>
              </w:rPr>
            </w:pPr>
            <w:r>
              <w:rPr>
                <w:rFonts w:eastAsia="宋体"/>
                <w:szCs w:val="24"/>
                <w:highlight w:val="green"/>
                <w:lang w:eastAsia="zh-CN"/>
              </w:rPr>
              <w:t>Agreement</w:t>
            </w:r>
            <w:r>
              <w:rPr>
                <w:rFonts w:eastAsia="宋体"/>
                <w:szCs w:val="24"/>
                <w:lang w:eastAsia="zh-CN"/>
              </w:rPr>
              <w:t>:</w:t>
            </w:r>
          </w:p>
          <w:p>
            <w:pPr>
              <w:pStyle w:val="29"/>
              <w:numPr>
                <w:ilvl w:val="0"/>
                <w:numId w:val="5"/>
              </w:numPr>
              <w:tabs>
                <w:tab w:val="left" w:pos="-840"/>
                <w:tab w:val="clear" w:pos="-1260"/>
              </w:tabs>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 xml:space="preserve">As per conclusion of issue 1-4-1, </w:t>
            </w:r>
            <w:r>
              <w:t>not to consider applying the timing/beam information of active serving cell on the target FR2 inter-band SCell during the FR2 unknown SCell activation enhancement</w:t>
            </w:r>
            <w:r>
              <w:rPr>
                <w:rFonts w:eastAsia="宋体"/>
                <w:szCs w:val="24"/>
                <w:lang w:eastAsia="zh-CN"/>
              </w:rPr>
              <w:t>.</w:t>
            </w:r>
          </w:p>
          <w:p>
            <w:pPr>
              <w:numPr>
                <w:ilvl w:val="0"/>
                <w:numId w:val="0"/>
              </w:numPr>
              <w:rPr>
                <w:rFonts w:hint="eastAsia"/>
                <w:b/>
                <w:bCs/>
                <w:lang w:val="en-US" w:eastAsia="ko-KR"/>
              </w:rPr>
            </w:pPr>
            <w:r>
              <w:rPr>
                <w:rFonts w:hint="eastAsia"/>
                <w:b/>
                <w:bCs/>
                <w:lang w:val="en-US" w:eastAsia="ko-KR"/>
              </w:rPr>
              <w:t>Issue 1-4-1(</w:t>
            </w:r>
            <w:r>
              <w:rPr>
                <w:rFonts w:hint="eastAsia"/>
                <w:b/>
                <w:bCs/>
                <w:highlight w:val="none"/>
                <w:lang w:val="en-US" w:eastAsia="ko-KR"/>
              </w:rPr>
              <w:t>common issue for multiple topics</w:t>
            </w:r>
            <w:r>
              <w:rPr>
                <w:rFonts w:hint="eastAsia"/>
                <w:b/>
                <w:bCs/>
                <w:lang w:val="en-US" w:eastAsia="ko-KR"/>
              </w:rPr>
              <w:t>): whether to reuse timing and Rx beam for target unknown FR2 SCell based on QCLed type C/D information from an inter-band active serving cell</w:t>
            </w:r>
          </w:p>
          <w:p>
            <w:pPr>
              <w:rPr>
                <w:b/>
                <w:bCs/>
                <w:u w:val="single"/>
                <w:lang w:val="sv-SE" w:eastAsia="ja-JP"/>
              </w:rPr>
            </w:pPr>
            <w:r>
              <w:rPr>
                <w:b/>
                <w:bCs/>
                <w:highlight w:val="green"/>
                <w:u w:val="single"/>
                <w:lang w:val="sv-SE" w:eastAsia="ja-JP"/>
              </w:rPr>
              <w:t>Agreement</w:t>
            </w:r>
            <w:r>
              <w:rPr>
                <w:b/>
                <w:bCs/>
                <w:u w:val="single"/>
                <w:lang w:val="sv-SE" w:eastAsia="ja-JP"/>
              </w:rPr>
              <w:t>:</w:t>
            </w:r>
          </w:p>
          <w:p>
            <w:pPr>
              <w:pStyle w:val="29"/>
              <w:numPr>
                <w:ilvl w:val="0"/>
                <w:numId w:val="5"/>
              </w:numPr>
              <w:tabs>
                <w:tab w:val="left" w:pos="-840"/>
                <w:tab w:val="clear" w:pos="-1260"/>
              </w:tabs>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For FR2 SCell activation enhancement</w:t>
            </w:r>
          </w:p>
          <w:p>
            <w:pPr>
              <w:pStyle w:val="29"/>
              <w:keepNext w:val="0"/>
              <w:keepLines w:val="0"/>
              <w:pageBreakBefore w:val="0"/>
              <w:widowControl w:val="0"/>
              <w:numPr>
                <w:ilvl w:val="1"/>
                <w:numId w:val="5"/>
              </w:numPr>
              <w:tabs>
                <w:tab w:val="left" w:pos="-840"/>
                <w:tab w:val="clear" w:pos="-1260"/>
              </w:tabs>
              <w:kinsoku/>
              <w:wordWrap/>
              <w:overflowPunct/>
              <w:topLinePunct w:val="0"/>
              <w:autoSpaceDE/>
              <w:autoSpaceDN/>
              <w:bidi w:val="0"/>
              <w:adjustRightInd/>
              <w:snapToGrid/>
              <w:ind w:left="660" w:leftChars="0" w:hanging="363" w:firstLineChars="0"/>
              <w:textAlignment w:val="auto"/>
            </w:pPr>
            <w:r>
              <w:t>RAN4 to not consider reusing timing and Rx beam to target unknown FR2 SCell based on QCLed type C/D information from an inter-band active serving cell</w:t>
            </w:r>
          </w:p>
          <w:p>
            <w:pPr>
              <w:pStyle w:val="29"/>
              <w:numPr>
                <w:ilvl w:val="0"/>
                <w:numId w:val="5"/>
              </w:numPr>
              <w:tabs>
                <w:tab w:val="left" w:pos="-840"/>
                <w:tab w:val="clear" w:pos="-1260"/>
              </w:tabs>
              <w:overflowPunct/>
              <w:autoSpaceDE/>
              <w:autoSpaceDN/>
              <w:adjustRightInd/>
              <w:spacing w:after="120"/>
              <w:ind w:left="600" w:leftChars="0" w:firstLineChars="0"/>
              <w:textAlignment w:val="auto"/>
              <w:rPr>
                <w:rFonts w:eastAsia="宋体"/>
                <w:szCs w:val="24"/>
                <w:lang w:eastAsia="zh-CN"/>
              </w:rPr>
            </w:pPr>
            <w:r>
              <w:rPr>
                <w:rFonts w:eastAsia="宋体"/>
                <w:szCs w:val="24"/>
                <w:lang w:eastAsia="zh-CN"/>
              </w:rPr>
              <w:t>For FR1 SCell activation enhancement</w:t>
            </w:r>
          </w:p>
          <w:p>
            <w:pPr>
              <w:pStyle w:val="29"/>
              <w:keepNext w:val="0"/>
              <w:keepLines w:val="0"/>
              <w:pageBreakBefore w:val="0"/>
              <w:widowControl w:val="0"/>
              <w:numPr>
                <w:ilvl w:val="1"/>
                <w:numId w:val="5"/>
              </w:numPr>
              <w:tabs>
                <w:tab w:val="left" w:pos="-840"/>
                <w:tab w:val="clear" w:pos="-1260"/>
              </w:tabs>
              <w:kinsoku/>
              <w:wordWrap/>
              <w:overflowPunct/>
              <w:topLinePunct w:val="0"/>
              <w:autoSpaceDE/>
              <w:autoSpaceDN/>
              <w:bidi w:val="0"/>
              <w:adjustRightInd/>
              <w:snapToGrid/>
              <w:ind w:left="660" w:leftChars="0" w:hanging="363" w:firstLineChars="0"/>
              <w:textAlignment w:val="auto"/>
            </w:pPr>
            <w:r>
              <w:t>RAN4 to discuss the feasibility of reusing timing information to target unknown FR1 SCell from an FR1 inter-band active serving cell</w:t>
            </w:r>
          </w:p>
          <w:p>
            <w:pPr>
              <w:pStyle w:val="29"/>
              <w:keepNext w:val="0"/>
              <w:keepLines w:val="0"/>
              <w:pageBreakBefore w:val="0"/>
              <w:widowControl w:val="0"/>
              <w:numPr>
                <w:ilvl w:val="2"/>
                <w:numId w:val="5"/>
              </w:numPr>
              <w:tabs>
                <w:tab w:val="left" w:pos="-840"/>
                <w:tab w:val="clear" w:pos="-1260"/>
              </w:tabs>
              <w:kinsoku/>
              <w:wordWrap/>
              <w:overflowPunct/>
              <w:topLinePunct w:val="0"/>
              <w:autoSpaceDE/>
              <w:autoSpaceDN/>
              <w:bidi w:val="0"/>
              <w:adjustRightInd/>
              <w:snapToGrid/>
              <w:ind w:left="1380" w:leftChars="0" w:hanging="363" w:firstLineChars="0"/>
              <w:textAlignment w:val="auto"/>
              <w:rPr>
                <w:rFonts w:hint="default" w:eastAsia="宋体"/>
                <w:color w:val="auto"/>
                <w:sz w:val="20"/>
                <w:szCs w:val="20"/>
                <w:highlight w:val="none"/>
                <w:vertAlign w:val="baseline"/>
                <w:lang w:val="en-US" w:eastAsia="zh-CN"/>
              </w:rPr>
            </w:pPr>
            <w:r>
              <w:t>FFS the feasibility of configuring QCL type C information from FR1 inter-band active serving cell</w:t>
            </w:r>
            <w:r>
              <w:rPr>
                <w:rFonts w:hint="eastAsia"/>
                <w:lang w:val="en-US" w:eastAsia="zh-CN"/>
              </w:rPr>
              <w:t xml:space="preserve">  </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last meeting, some issues about others were discussed and the proposed candidates were summarized in [3] but fail to reach consensus. In this document, we want to share some further views around the feasibility of reusing timing information from inter-band active serving cell. Besides that, we provide some analysis around some other issues.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Similar as the enhancement in fast SCell activation in Re-17, A-TRS can be used to accelerate the procedure compared with periodic RS. In Rel-17 fast SCell activation, A-TRS has been applied for the case of known target SCell and an active serving cell existing in the same band, so that the cell search to identify the timing of target SCell and L1-RSRP to determine the beam can be ignored.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While for unknown target SCell case, we believe similar solution can be referenced. However it should be noted that it has been approved in [4] that the potential reduction on SCell activation latency is considered based on the assumption of without any intra-band serving cell for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phase. So we are encouraged to explore whether any active serving cell in another band can provide reference on timing and beam. If the answer is yes, i.e. the timing and beam can be obtained from an active serving cell in another band, then the cell search and L1-RSRP can also be ignored. As a consequence, the SCell activation processing latency can be largely reduced. Based on the discussion and progress in last meeting, such solution was approved by the majority. But the situation for FR2 is a bit different from the case for FR1. For FR2, as some UE vendor pointed out, from the perspective of UE implementation on beam management, UE would apply independent beam manager based on each phase shifter for each band, so for the case of inter-band, it is hard to realize fully identical beam direction for difference bands at UE side. From the perspective of this point, the majority believed it is difficult to obtain beam information from an active inter-band serving cell and such view was captured in the agreements.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FR1 case, since of omnidirectional antenna is assumed at UE side, no need to concern the beam issue. Regarding to the feasibility validation, only timing issue needs to be verified. </w:t>
      </w:r>
    </w:p>
    <w:p>
      <w:pPr>
        <w:spacing w:beforeLines="0" w:afterLines="0"/>
        <w:jc w:val="left"/>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In the current TS38.133 spec, the </w:t>
      </w:r>
      <w:r>
        <w:rPr>
          <w:rFonts w:hint="eastAsia" w:eastAsia="宋体"/>
          <w:strike w:val="0"/>
          <w:dstrike w:val="0"/>
          <w:color w:val="auto"/>
          <w:sz w:val="20"/>
          <w:szCs w:val="20"/>
          <w:highlight w:val="none"/>
          <w:lang w:val="en-US" w:eastAsia="zh-CN"/>
        </w:rPr>
        <w:t xml:space="preserve">SCell </w:t>
      </w:r>
      <w:r>
        <w:rPr>
          <w:rFonts w:hint="eastAsia" w:ascii="Times New Roman" w:hAnsi="Times New Roman" w:eastAsia="宋体" w:cs="Times New Roman"/>
          <w:color w:val="auto"/>
          <w:sz w:val="20"/>
          <w:szCs w:val="20"/>
          <w:highlight w:val="none"/>
          <w:lang w:val="en-US" w:eastAsia="zh-CN" w:bidi="ar-SA"/>
        </w:rPr>
        <w:t>activation delay for intra-band CA could be improved up to 3ms based on the following limitations:</w:t>
      </w:r>
    </w:p>
    <w:p>
      <w:pPr>
        <w:numPr>
          <w:ilvl w:val="0"/>
          <w:numId w:val="6"/>
        </w:numPr>
        <w:ind w:left="420" w:hanging="420"/>
        <w:jc w:val="both"/>
        <w:rPr>
          <w:rFonts w:eastAsiaTheme="minorEastAsia"/>
          <w:sz w:val="20"/>
          <w:szCs w:val="20"/>
          <w:lang w:eastAsia="zh-CN"/>
        </w:rPr>
      </w:pPr>
      <w:r>
        <w:rPr>
          <w:rFonts w:hint="eastAsia" w:eastAsiaTheme="minorEastAsia"/>
          <w:sz w:val="20"/>
          <w:szCs w:val="20"/>
          <w:lang w:val="en-US" w:eastAsia="zh-CN"/>
        </w:rPr>
        <w:t>F</w:t>
      </w:r>
      <w:r>
        <w:rPr>
          <w:rFonts w:eastAsiaTheme="minorEastAsia"/>
          <w:sz w:val="20"/>
          <w:szCs w:val="20"/>
          <w:lang w:eastAsia="zh-CN"/>
        </w:rPr>
        <w:t>or FR1</w:t>
      </w:r>
      <w:r>
        <w:rPr>
          <w:rFonts w:hint="eastAsia" w:eastAsiaTheme="minorEastAsia"/>
          <w:sz w:val="20"/>
          <w:szCs w:val="20"/>
          <w:lang w:val="en-US" w:eastAsia="zh-CN"/>
        </w:rPr>
        <w:t>,</w:t>
      </w:r>
      <w:r>
        <w:rPr>
          <w:rFonts w:eastAsiaTheme="minorEastAsia"/>
          <w:sz w:val="20"/>
          <w:szCs w:val="20"/>
          <w:lang w:eastAsia="zh-CN"/>
        </w:rPr>
        <w:t xml:space="preserve"> </w:t>
      </w:r>
      <w:r>
        <w:rPr>
          <w:rFonts w:hint="eastAsia" w:eastAsiaTheme="minorEastAsia"/>
          <w:sz w:val="20"/>
          <w:szCs w:val="20"/>
          <w:lang w:val="en-US" w:eastAsia="zh-CN"/>
        </w:rPr>
        <w:t xml:space="preserve">for the UE supporting </w:t>
      </w:r>
      <w:r>
        <w:rPr>
          <w:rFonts w:ascii="Times New Roman" w:hAnsi="Times New Roman" w:eastAsia="Times New Roman" w:cs="Times New Roman"/>
          <w:i/>
          <w:iCs/>
          <w:kern w:val="0"/>
          <w:sz w:val="20"/>
          <w:szCs w:val="20"/>
          <w:lang w:val="en-US" w:eastAsia="en-GB" w:bidi="ar-SA"/>
        </w:rPr>
        <w:t>scellWithoutSSB</w:t>
      </w:r>
      <w:r>
        <w:rPr>
          <w:rFonts w:hint="eastAsia" w:eastAsia="宋体" w:cs="Times New Roman"/>
          <w:kern w:val="0"/>
          <w:sz w:val="20"/>
          <w:szCs w:val="20"/>
          <w:lang w:val="en-US" w:eastAsia="zh-CN" w:bidi="ar-SA"/>
        </w:rPr>
        <w:t xml:space="preserve">, </w:t>
      </w:r>
      <w:r>
        <w:rPr>
          <w:rFonts w:eastAsiaTheme="minorEastAsia"/>
          <w:sz w:val="20"/>
          <w:szCs w:val="20"/>
          <w:lang w:eastAsia="zh-CN"/>
        </w:rPr>
        <w:t>the conditions are,</w:t>
      </w:r>
    </w:p>
    <w:p>
      <w:pPr>
        <w:pStyle w:val="29"/>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hint="eastAsia" w:ascii="Times New Roman" w:hAnsi="Times New Roman" w:eastAsia="宋体" w:cs="Times New Roman"/>
          <w:kern w:val="0"/>
          <w:sz w:val="20"/>
          <w:szCs w:val="20"/>
          <w:lang w:val="en-US" w:eastAsia="zh-CN" w:bidi="ar-SA"/>
        </w:rPr>
        <w:t>T</w:t>
      </w:r>
      <w:r>
        <w:rPr>
          <w:rFonts w:ascii="Times New Roman" w:hAnsi="Times New Roman" w:eastAsia="Times New Roman" w:cs="Times New Roman"/>
          <w:kern w:val="0"/>
          <w:sz w:val="20"/>
          <w:szCs w:val="20"/>
          <w:lang w:val="en-US" w:eastAsia="en-GB" w:bidi="ar-SA"/>
        </w:rPr>
        <w:t xml:space="preserve">here is at least one active serving cell contiguous to the SCell on that FR1 band, and </w:t>
      </w:r>
    </w:p>
    <w:p>
      <w:pPr>
        <w:pStyle w:val="29"/>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RTD between the target SCell and the contiguous active serving cell is within within ±260ns, and </w:t>
      </w:r>
    </w:p>
    <w:p>
      <w:pPr>
        <w:pStyle w:val="29"/>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difference of the reception power with the contiguous active serving cell is &lt;= 6dB, and </w:t>
      </w:r>
    </w:p>
    <w:p>
      <w:pPr>
        <w:pStyle w:val="29"/>
        <w:numPr>
          <w:ilvl w:val="0"/>
          <w:numId w:val="7"/>
        </w:numPr>
        <w:ind w:left="720" w:leftChars="0" w:firstLineChars="0"/>
        <w:jc w:val="both"/>
        <w:rPr>
          <w:rFonts w:hint="eastAsia"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en-GB" w:bidi="ar-SA"/>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spacing w:beforeLines="0" w:afterLines="0"/>
        <w:jc w:val="both"/>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From our understanding, the main reason why this feature is not applicable for inter-band CA scenario yet is due to the minimum TAE requirement 3us defined for inter-band CA in TS 38.104 in the past. However as shown in the following </w:t>
      </w:r>
      <w:r>
        <w:rPr>
          <w:rFonts w:hint="eastAsia" w:eastAsia="宋体" w:cs="Times New Roman"/>
          <w:color w:val="auto"/>
          <w:sz w:val="20"/>
          <w:szCs w:val="20"/>
          <w:highlight w:val="none"/>
          <w:lang w:val="en-US" w:eastAsia="zh-CN" w:bidi="ar-SA"/>
        </w:rPr>
        <w:t>Fi</w:t>
      </w:r>
      <w:r>
        <w:rPr>
          <w:rFonts w:hint="eastAsia" w:ascii="Times New Roman" w:hAnsi="Times New Roman" w:eastAsia="宋体" w:cs="Times New Roman"/>
          <w:color w:val="auto"/>
          <w:sz w:val="20"/>
          <w:szCs w:val="20"/>
          <w:highlight w:val="none"/>
          <w:lang w:val="en-US" w:eastAsia="zh-CN" w:bidi="ar-SA"/>
        </w:rPr>
        <w:t>gure</w:t>
      </w:r>
      <w:r>
        <w:rPr>
          <w:rFonts w:hint="eastAsia" w:eastAsia="宋体" w:cs="Times New Roman"/>
          <w:color w:val="auto"/>
          <w:sz w:val="20"/>
          <w:szCs w:val="20"/>
          <w:highlight w:val="none"/>
          <w:lang w:val="en-US" w:eastAsia="zh-CN" w:bidi="ar-SA"/>
        </w:rPr>
        <w:t xml:space="preserve"> 1</w:t>
      </w:r>
      <w:r>
        <w:rPr>
          <w:rFonts w:hint="eastAsia" w:ascii="Times New Roman" w:hAnsi="Times New Roman" w:eastAsia="宋体" w:cs="Times New Roman"/>
          <w:color w:val="auto"/>
          <w:sz w:val="20"/>
          <w:szCs w:val="20"/>
          <w:highlight w:val="none"/>
          <w:lang w:val="en-US" w:eastAsia="zh-CN" w:bidi="ar-SA"/>
        </w:rPr>
        <w:t xml:space="preserve"> for inter-band CA BS architecture, if the component bands within inter-band CA combination are co-located deployed, then practical timing difference among different bands should be optimized down to 10ns-65ns which is much less than the normal CP of the supported subcarrier spacing in FR</w:t>
      </w:r>
      <w:r>
        <w:rPr>
          <w:rFonts w:hint="eastAsia" w:eastAsia="宋体" w:cs="Times New Roman"/>
          <w:color w:val="auto"/>
          <w:sz w:val="20"/>
          <w:szCs w:val="20"/>
          <w:highlight w:val="none"/>
          <w:lang w:val="en-US" w:eastAsia="zh-CN" w:bidi="ar-SA"/>
        </w:rPr>
        <w:t>1, as shown in Table 1</w:t>
      </w:r>
      <w:r>
        <w:rPr>
          <w:rFonts w:hint="eastAsia" w:ascii="Times New Roman" w:hAnsi="Times New Roman" w:eastAsia="宋体" w:cs="Times New Roman"/>
          <w:color w:val="auto"/>
          <w:sz w:val="20"/>
          <w:szCs w:val="20"/>
          <w:highlight w:val="none"/>
          <w:lang w:val="en-US" w:eastAsia="zh-CN" w:bidi="ar-SA"/>
        </w:rPr>
        <w:t xml:space="preserve">. Indeed even for the low boundary of 10ns TAE performance, this could be further optimized with pre-compensation algorithm and higher granularity sampling clock in the practice. </w:t>
      </w:r>
    </w:p>
    <w:p>
      <w:pPr>
        <w:spacing w:beforeLines="0" w:afterLines="0"/>
        <w:jc w:val="both"/>
        <w:rPr>
          <w:rFonts w:hint="eastAsia"/>
          <w:sz w:val="20"/>
          <w:szCs w:val="20"/>
          <w:lang w:val="en-US" w:eastAsia="zh-CN"/>
        </w:rPr>
      </w:pPr>
      <w:r>
        <w:rPr>
          <w:rFonts w:hint="eastAsia"/>
          <w:sz w:val="20"/>
          <w:szCs w:val="20"/>
          <w:lang w:val="en-US" w:eastAsia="zh-CN"/>
        </w:rPr>
        <w:t xml:space="preserve">In other words, UE in band B could utilize the timing information from band A of PCell or other active SCell, then SCell activation in band B from UE side could be optimized down to only 3ms of MAC CE decoding time ultimately. </w:t>
      </w:r>
    </w:p>
    <w:p>
      <w:pPr>
        <w:spacing w:beforeLines="0" w:afterLines="0"/>
        <w:jc w:val="left"/>
      </w:pPr>
      <w:r>
        <w:drawing>
          <wp:inline distT="0" distB="0" distL="114300" distR="114300">
            <wp:extent cx="6188075" cy="1932305"/>
            <wp:effectExtent l="0" t="0" r="1460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jc w:val="cente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Figure 1. </w:t>
      </w:r>
      <w:r>
        <w:rPr>
          <w:rFonts w:hint="eastAsia" w:cs="Times New Roman"/>
          <w:kern w:val="0"/>
          <w:sz w:val="20"/>
          <w:szCs w:val="20"/>
          <w:highlight w:val="none"/>
          <w:lang w:val="en-US" w:eastAsia="zh-CN" w:bidi="ar-SA"/>
        </w:rPr>
        <w:t>T</w:t>
      </w:r>
      <w:r>
        <w:rPr>
          <w:rFonts w:hint="eastAsia" w:eastAsia="Times New Roman" w:cs="Times New Roman"/>
          <w:kern w:val="0"/>
          <w:sz w:val="20"/>
          <w:szCs w:val="20"/>
          <w:highlight w:val="none"/>
          <w:lang w:val="en-US" w:eastAsia="zh-CN" w:bidi="ar-SA"/>
        </w:rPr>
        <w:t>he general illustration of inter-band CA BS architecture</w:t>
      </w:r>
    </w:p>
    <w:p>
      <w:pPr>
        <w:jc w:val="center"/>
        <w:rPr>
          <w:rFonts w:hint="eastAsia" w:eastAsia="Times New Roman" w:cs="Times New Roman"/>
          <w:kern w:val="0"/>
          <w:sz w:val="20"/>
          <w:szCs w:val="20"/>
          <w:highlight w:val="none"/>
          <w:lang w:val="en-US" w:eastAsia="zh-CN" w:bidi="ar-SA"/>
        </w:rPr>
      </w:pPr>
    </w:p>
    <w:p>
      <w:pPr>
        <w:pStyle w:val="59"/>
        <w:widowControl w:val="0"/>
        <w:numPr>
          <w:ilvl w:val="0"/>
          <w:numId w:val="0"/>
        </w:numPr>
        <w:overflowPunct w:val="0"/>
        <w:autoSpaceDE w:val="0"/>
        <w:autoSpaceDN w:val="0"/>
        <w:adjustRightInd w:val="0"/>
        <w:contextualSpacing w:val="0"/>
        <w:jc w:val="center"/>
        <w:textAlignment w:val="baseline"/>
        <w:rPr>
          <w:rFonts w:hint="default"/>
          <w:b w:val="0"/>
          <w:bCs w:val="0"/>
          <w:lang w:val="en-US" w:eastAsia="zh-CN"/>
        </w:rPr>
      </w:pPr>
      <w:r>
        <w:rPr>
          <w:rFonts w:hint="eastAsia"/>
          <w:b w:val="0"/>
          <w:bCs w:val="0"/>
          <w:lang w:val="en-US" w:eastAsia="zh-CN"/>
        </w:rPr>
        <w:t>Table 1. The CP length and TAE performance for inter-band CA in FR1</w:t>
      </w:r>
    </w:p>
    <w:tbl>
      <w:tblPr>
        <w:tblStyle w:val="17"/>
        <w:tblW w:w="351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22"/>
        <w:gridCol w:w="1014"/>
        <w:gridCol w:w="1913"/>
        <w:gridCol w:w="2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SCS</w:t>
            </w:r>
          </w:p>
        </w:tc>
        <w:tc>
          <w:tcPr>
            <w:tcW w:w="773"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CP[us]</w:t>
            </w:r>
          </w:p>
        </w:tc>
        <w:tc>
          <w:tcPr>
            <w:tcW w:w="1458"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eastAsia" w:ascii="Times New Roman" w:hAnsi="Times New Roman" w:eastAsia="宋体" w:cs="Times New Roman"/>
                <w:i w:val="0"/>
                <w:color w:val="000000"/>
                <w:kern w:val="0"/>
                <w:sz w:val="22"/>
                <w:szCs w:val="22"/>
                <w:u w:val="none"/>
                <w:lang w:val="en-US" w:eastAsia="zh-CN" w:bidi="ar"/>
              </w:rPr>
              <w:t>D</w:t>
            </w:r>
            <w:r>
              <w:rPr>
                <w:rFonts w:hint="default" w:ascii="Times New Roman" w:hAnsi="Times New Roman" w:eastAsia="宋体" w:cs="Times New Roman"/>
                <w:i w:val="0"/>
                <w:color w:val="000000"/>
                <w:kern w:val="0"/>
                <w:sz w:val="22"/>
                <w:szCs w:val="22"/>
                <w:u w:val="none"/>
                <w:lang w:val="en-US" w:eastAsia="zh-CN" w:bidi="ar"/>
              </w:rPr>
              <w:t>ata[us]</w:t>
            </w:r>
          </w:p>
        </w:tc>
        <w:tc>
          <w:tcPr>
            <w:tcW w:w="2217"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lang w:val="en-US"/>
              </w:rPr>
            </w:pPr>
            <w:r>
              <w:rPr>
                <w:rFonts w:hint="default" w:ascii="Times New Roman" w:hAnsi="Times New Roman" w:eastAsia="宋体" w:cs="Times New Roman"/>
                <w:i w:val="0"/>
                <w:color w:val="000000"/>
                <w:kern w:val="0"/>
                <w:sz w:val="22"/>
                <w:szCs w:val="22"/>
                <w:u w:val="none"/>
                <w:lang w:val="en-US" w:eastAsia="zh-CN" w:bidi="ar"/>
              </w:rPr>
              <w:t>TAE [</w:t>
            </w:r>
            <w:r>
              <w:rPr>
                <w:rFonts w:hint="default" w:ascii="Times New Roman" w:hAnsi="Times New Roman" w:eastAsia="宋体" w:cs="Times New Roman"/>
                <w:i w:val="0"/>
                <w:color w:val="000000"/>
                <w:sz w:val="22"/>
                <w:szCs w:val="22"/>
                <w:u w:val="none"/>
                <w:lang w:val="en-US" w:eastAsia="zh-CN"/>
              </w:rPr>
              <w:t>ns</w:t>
            </w:r>
            <w:r>
              <w:rPr>
                <w:rFonts w:hint="default" w:ascii="Times New Roman" w:hAnsi="Times New Roman" w:cs="Times New Roman"/>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15</w:t>
            </w:r>
          </w:p>
        </w:tc>
        <w:tc>
          <w:tcPr>
            <w:tcW w:w="773"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4.7</w:t>
            </w:r>
          </w:p>
        </w:tc>
        <w:tc>
          <w:tcPr>
            <w:tcW w:w="1458"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66.7</w:t>
            </w:r>
          </w:p>
        </w:tc>
        <w:tc>
          <w:tcPr>
            <w:tcW w:w="2217"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30</w:t>
            </w:r>
          </w:p>
        </w:tc>
        <w:tc>
          <w:tcPr>
            <w:tcW w:w="773"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2.3</w:t>
            </w:r>
          </w:p>
        </w:tc>
        <w:tc>
          <w:tcPr>
            <w:tcW w:w="1458"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eastAsia" w:eastAsia="宋体" w:cs="Times New Roman"/>
                <w:i w:val="0"/>
                <w:color w:val="000000"/>
                <w:kern w:val="0"/>
                <w:sz w:val="22"/>
                <w:szCs w:val="22"/>
                <w:u w:val="none"/>
                <w:lang w:val="en-US" w:eastAsia="zh-CN" w:bidi="ar"/>
              </w:rPr>
              <w:t>33.3</w:t>
            </w:r>
          </w:p>
        </w:tc>
        <w:tc>
          <w:tcPr>
            <w:tcW w:w="2217"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60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val="en-US" w:bidi="ar"/>
              </w:rPr>
            </w:pPr>
            <w:r>
              <w:rPr>
                <w:rFonts w:hint="default" w:ascii="Times New Roman" w:hAnsi="Times New Roman" w:eastAsia="宋体" w:cs="Times New Roman"/>
                <w:i w:val="0"/>
                <w:color w:val="000000"/>
                <w:kern w:val="0"/>
                <w:sz w:val="22"/>
                <w:szCs w:val="22"/>
                <w:u w:val="none"/>
                <w:lang w:val="en-US" w:eastAsia="zh-CN" w:bidi="ar"/>
              </w:rPr>
              <w:t>1</w:t>
            </w:r>
            <w:r>
              <w:rPr>
                <w:rFonts w:hint="eastAsia" w:eastAsia="宋体" w:cs="Times New Roman"/>
                <w:i w:val="0"/>
                <w:color w:val="000000"/>
                <w:kern w:val="0"/>
                <w:sz w:val="22"/>
                <w:szCs w:val="22"/>
                <w:u w:val="none"/>
                <w:lang w:val="en-US" w:eastAsia="zh-CN" w:bidi="ar"/>
              </w:rPr>
              <w:t>.2</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16.</w:t>
            </w:r>
            <w:r>
              <w:rPr>
                <w:rFonts w:hint="eastAsia" w:eastAsia="宋体" w:cs="Times New Roman"/>
                <w:i w:val="0"/>
                <w:color w:val="000000"/>
                <w:kern w:val="0"/>
                <w:sz w:val="22"/>
                <w:szCs w:val="22"/>
                <w:u w:val="none"/>
                <w:lang w:val="en-US" w:eastAsia="zh-CN" w:bidi="ar"/>
              </w:rPr>
              <w:t>7</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bl>
    <w:p>
      <w:pPr>
        <w:jc w:val="center"/>
        <w:rPr>
          <w:rFonts w:hint="default" w:eastAsia="Times New Roman" w:cs="Times New Roman"/>
          <w:kern w:val="0"/>
          <w:sz w:val="20"/>
          <w:szCs w:val="20"/>
          <w:highlight w:val="none"/>
          <w:lang w:val="en-US" w:eastAsia="zh-CN" w:bidi="ar-SA"/>
        </w:rPr>
      </w:pP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The inter-band CA TAE performance in FR1 could be between 10ns and 65ns and these values could be further optimized with pre-compensation algorithm and higher granularity sampling clock in the practice.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SCell activation delay requirement could be optimized by reusing the timing info of another FR1 inter-band active serving cell. </w:t>
      </w:r>
    </w:p>
    <w:p>
      <w:pPr>
        <w:pStyle w:val="4"/>
        <w:rPr>
          <w:lang w:eastAsia="zh-CN"/>
        </w:rPr>
      </w:pPr>
      <w:r>
        <w:rPr>
          <w:rFonts w:hint="eastAsia" w:eastAsia="宋体" w:cs="Times New Roman"/>
          <w:b/>
          <w:bCs/>
          <w:color w:val="auto"/>
          <w:sz w:val="20"/>
          <w:szCs w:val="20"/>
          <w:highlight w:val="none"/>
          <w:lang w:val="en-US" w:eastAsia="zh-CN" w:bidi="ar-SA"/>
        </w:rPr>
        <w:t xml:space="preserve">Proposal 2: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Regarding to the UE feature </w:t>
      </w:r>
      <w:r>
        <w:rPr>
          <w:rFonts w:hint="eastAsia" w:eastAsia="宋体" w:cs="Times New Roman"/>
          <w:b w:val="0"/>
          <w:bCs w:val="0"/>
          <w:i/>
          <w:iCs/>
          <w:color w:val="auto"/>
          <w:sz w:val="20"/>
          <w:szCs w:val="20"/>
          <w:highlight w:val="none"/>
          <w:lang w:val="en-US" w:eastAsia="zh-CN" w:bidi="ar-SA"/>
        </w:rPr>
        <w:t>ScellwithoutSSB</w:t>
      </w:r>
      <w:r>
        <w:rPr>
          <w:rFonts w:hint="eastAsia" w:eastAsia="宋体" w:cs="Times New Roman"/>
          <w:b/>
          <w:bCs/>
          <w:i/>
          <w:iCs/>
          <w:color w:val="auto"/>
          <w:sz w:val="20"/>
          <w:szCs w:val="20"/>
          <w:highlight w:val="none"/>
          <w:lang w:val="en-US" w:eastAsia="zh-CN" w:bidi="ar-SA"/>
        </w:rPr>
        <w:t xml:space="preserve"> </w:t>
      </w:r>
      <w:r>
        <w:rPr>
          <w:rFonts w:hint="eastAsia" w:eastAsia="宋体"/>
          <w:color w:val="auto"/>
          <w:sz w:val="20"/>
          <w:szCs w:val="20"/>
          <w:highlight w:val="none"/>
          <w:lang w:val="en-US" w:eastAsia="zh-CN"/>
        </w:rPr>
        <w:t xml:space="preserve">referred to, currently it is really only supported in intra-band CA, to our understanding, such applicability restriction also mainly derived from the current BS TAE assumption, so our above analysis is also applicable here, i.e. under the actual inter-band CA BS architecture and limited to the co-located deployment, in fact the </w:t>
      </w:r>
      <w:r>
        <w:rPr>
          <w:rFonts w:hint="eastAsia" w:eastAsia="宋体" w:cs="Times New Roman"/>
          <w:b w:val="0"/>
          <w:bCs w:val="0"/>
          <w:i/>
          <w:iCs/>
          <w:color w:val="auto"/>
          <w:sz w:val="20"/>
          <w:szCs w:val="20"/>
          <w:highlight w:val="none"/>
          <w:lang w:val="en-US" w:eastAsia="zh-CN" w:bidi="ar-SA"/>
        </w:rPr>
        <w:t>ScellwithoutSSB</w:t>
      </w:r>
      <w:r>
        <w:rPr>
          <w:rFonts w:hint="eastAsia" w:eastAsia="宋体" w:cs="Times New Roman"/>
          <w:b/>
          <w:bCs/>
          <w:i/>
          <w:iCs/>
          <w:color w:val="auto"/>
          <w:sz w:val="20"/>
          <w:szCs w:val="20"/>
          <w:highlight w:val="none"/>
          <w:lang w:val="en-US" w:eastAsia="zh-CN" w:bidi="ar-SA"/>
        </w:rPr>
        <w:t xml:space="preserve"> </w:t>
      </w:r>
      <w:r>
        <w:rPr>
          <w:rFonts w:hint="eastAsia" w:eastAsia="宋体"/>
          <w:color w:val="auto"/>
          <w:sz w:val="20"/>
          <w:szCs w:val="20"/>
          <w:highlight w:val="none"/>
          <w:lang w:val="en-US" w:eastAsia="zh-CN"/>
        </w:rPr>
        <w:t xml:space="preserve">is feasible to inter-band CA case.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Therefore, </w:t>
      </w:r>
      <w:r>
        <w:rPr>
          <w:rFonts w:hint="eastAsia"/>
          <w:highlight w:val="none"/>
          <w:lang w:val="en-US" w:eastAsia="zh-CN"/>
        </w:rPr>
        <w:t xml:space="preserve">introducing </w:t>
      </w:r>
      <w:r>
        <w:rPr>
          <w:rFonts w:hint="eastAsia"/>
          <w:i/>
          <w:iCs/>
          <w:highlight w:val="none"/>
          <w:lang w:val="en-US" w:eastAsia="zh-CN"/>
        </w:rPr>
        <w:t>ScellwithoutSSB</w:t>
      </w:r>
      <w:r>
        <w:rPr>
          <w:rFonts w:hint="eastAsia"/>
          <w:highlight w:val="none"/>
          <w:lang w:val="en-US" w:eastAsia="zh-CN"/>
        </w:rPr>
        <w:t xml:space="preserve"> under inter-band CA case can reduce the latency of unknown SCell activation significantly. Of course, such new applicability can be an conditionally mandatory UE capability similar as intra-band case or an optional UE capability. Introducing a new UE capability or reusing the existing </w:t>
      </w:r>
      <w:r>
        <w:rPr>
          <w:rFonts w:hint="eastAsia"/>
          <w:i/>
          <w:iCs/>
          <w:highlight w:val="none"/>
          <w:lang w:val="en-US" w:eastAsia="zh-CN"/>
        </w:rPr>
        <w:t xml:space="preserve">ScellwithoutSSB </w:t>
      </w:r>
      <w:r>
        <w:rPr>
          <w:rFonts w:hint="eastAsia"/>
          <w:highlight w:val="none"/>
          <w:lang w:val="en-US" w:eastAsia="zh-CN"/>
        </w:rPr>
        <w:t>are both candidates.</w:t>
      </w:r>
    </w:p>
    <w:p>
      <w:pPr>
        <w:pStyle w:val="4"/>
        <w:rPr>
          <w:lang w:eastAsia="zh-CN"/>
        </w:rPr>
      </w:pPr>
      <w:r>
        <w:rPr>
          <w:rFonts w:hint="eastAsia" w:eastAsia="宋体" w:cs="Times New Roman"/>
          <w:b/>
          <w:bCs/>
          <w:color w:val="auto"/>
          <w:sz w:val="20"/>
          <w:szCs w:val="20"/>
          <w:highlight w:val="none"/>
          <w:lang w:val="en-US" w:eastAsia="zh-CN" w:bidi="ar-SA"/>
        </w:rPr>
        <w:t xml:space="preserve">Proposal 3: Under the actual inter-band CA BS architecture and limited to the co-located deployment, in fact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is feasible to inter-band CA case.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So as to extend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under inter-band CA, introducing a new UE capability or reusing the existing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are both candidates.</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To realize such significant latency reduction, if not any modification on BS TAE allowed, from the perspective of UE side, it is not sure to decide whether it can obtain timing from another active inter-band cell since the current CA deployment is possible to be transparent to UE. So as to align the understanding between UE and NW, NW can indicate a signalling to inform UE that the same timing can be assumed between inter-band case or not. If UE is informed to enable such same timing assumption, then both UE and NW are know that the reduced requirement should be applied, or expand the definition of QCLed-typeC to indicate the RTD between the SCell being activated and the inter-band active serving cell is within a small range, e.g., ±260ns.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Aim to align the understanding between UE and NW, two candidates can be considered: NW indicates a signalling to inform UE that the same timing can be assumed between inter-band case or not; or expand the definition of QCLed-typeC to indicate the RTD between the SCell being activated and the inter-band active serving cell is within a small range, e.g., ±260ns.</w:t>
      </w:r>
    </w:p>
    <w:p>
      <w:pPr>
        <w:pStyle w:val="4"/>
        <w:rPr>
          <w:rFonts w:hint="eastAsia"/>
          <w:highlight w:val="none"/>
          <w:lang w:val="en-US" w:eastAsia="zh-CN"/>
        </w:rPr>
      </w:pPr>
      <w:r>
        <w:rPr>
          <w:rFonts w:hint="eastAsia"/>
          <w:highlight w:val="none"/>
          <w:lang w:val="en-US" w:eastAsia="zh-CN"/>
        </w:rPr>
        <w:t>Based on the above analysis, the feasibility of reusing timing information to target unknown FR1 SCell from an FR1 inter-band active serving cell can be verified from the perspective of implementation architecture and NW signalling. Therefore, it is feasible and worthy to applying this since of significant processing latency reduction.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It is feasible to reuse the timing info between FR1 inter-band serving cells. The feasibility can be verified from the perspective of implementation architecture and NW signalling.</w:t>
      </w:r>
    </w:p>
    <w:p>
      <w:pPr>
        <w:pStyle w:val="4"/>
        <w:rPr>
          <w:rFonts w:hint="eastAsia" w:eastAsia="宋体" w:cs="Times New Roman"/>
          <w:b/>
          <w:bCs/>
          <w:color w:val="auto"/>
          <w:sz w:val="20"/>
          <w:szCs w:val="20"/>
          <w:highlight w:val="none"/>
          <w:lang w:val="en-US" w:eastAsia="zh-CN" w:bidi="ar-SA"/>
        </w:rPr>
      </w:pP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Another issue which is beneficial in practice is the scheduling enhancement for FR2 unknown SCell activation. Regarding to this issue, the following options were proposed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9"/>
              <w:keepNext w:val="0"/>
              <w:keepLines w:val="0"/>
              <w:pageBreakBefore w:val="0"/>
              <w:widowControl w:val="0"/>
              <w:numPr>
                <w:ilvl w:val="0"/>
                <w:numId w:val="5"/>
              </w:numPr>
              <w:kinsoku/>
              <w:wordWrap/>
              <w:overflowPunct/>
              <w:topLinePunct w:val="0"/>
              <w:autoSpaceDE/>
              <w:autoSpaceDN/>
              <w:bidi w:val="0"/>
              <w:adjustRightInd/>
              <w:snapToGrid/>
              <w:spacing w:after="0" w:line="240" w:lineRule="auto"/>
              <w:ind w:left="1020" w:leftChars="0" w:hanging="363" w:firstLineChars="0"/>
              <w:textAlignment w:val="auto"/>
              <w:rPr>
                <w:rFonts w:eastAsia="宋体"/>
              </w:rPr>
            </w:pPr>
            <w:r>
              <w:rPr>
                <w:rFonts w:eastAsia="宋体"/>
              </w:rPr>
              <w:t xml:space="preserve">Option 1: </w:t>
            </w:r>
            <w:r>
              <w:t>the early scheduling is network implementation and it’s not precluded in existing SCell activation requirement. No enhancement is needed</w:t>
            </w:r>
            <w:r>
              <w:rPr>
                <w:rFonts w:eastAsia="宋体"/>
              </w:rPr>
              <w:t>.</w:t>
            </w:r>
          </w:p>
          <w:p>
            <w:pPr>
              <w:pStyle w:val="29"/>
              <w:keepNext w:val="0"/>
              <w:keepLines w:val="0"/>
              <w:pageBreakBefore w:val="0"/>
              <w:widowControl w:val="0"/>
              <w:numPr>
                <w:ilvl w:val="0"/>
                <w:numId w:val="5"/>
              </w:numPr>
              <w:kinsoku/>
              <w:wordWrap/>
              <w:overflowPunct/>
              <w:topLinePunct w:val="0"/>
              <w:autoSpaceDE/>
              <w:autoSpaceDN/>
              <w:bidi w:val="0"/>
              <w:adjustRightInd/>
              <w:snapToGrid/>
              <w:spacing w:after="0" w:line="240" w:lineRule="auto"/>
              <w:ind w:left="1020" w:leftChars="0" w:hanging="363" w:firstLineChars="0"/>
              <w:textAlignment w:val="auto"/>
              <w:rPr>
                <w:rFonts w:eastAsia="宋体"/>
              </w:rPr>
            </w:pPr>
            <w:r>
              <w:rPr>
                <w:rFonts w:eastAsia="宋体"/>
              </w:rPr>
              <w:t xml:space="preserve">Option 2: </w:t>
            </w:r>
          </w:p>
          <w:p>
            <w:pPr>
              <w:pStyle w:val="29"/>
              <w:keepNext w:val="0"/>
              <w:keepLines w:val="0"/>
              <w:pageBreakBefore w:val="0"/>
              <w:widowControl w:val="0"/>
              <w:numPr>
                <w:ilvl w:val="2"/>
                <w:numId w:val="5"/>
              </w:numPr>
              <w:kinsoku/>
              <w:wordWrap/>
              <w:overflowPunct/>
              <w:topLinePunct w:val="0"/>
              <w:autoSpaceDE/>
              <w:autoSpaceDN/>
              <w:bidi w:val="0"/>
              <w:adjustRightInd/>
              <w:snapToGrid/>
              <w:spacing w:after="0" w:line="240" w:lineRule="auto"/>
              <w:ind w:hanging="363" w:firstLineChars="0"/>
              <w:textAlignment w:val="auto"/>
              <w:rPr>
                <w:rFonts w:eastAsiaTheme="minorEastAsia"/>
                <w:bCs/>
              </w:rPr>
            </w:pPr>
            <w:r>
              <w:rPr>
                <w:rFonts w:eastAsiaTheme="minorEastAsia"/>
                <w:bCs/>
              </w:rPr>
              <w:t>The potential to enable earlier data transmission within the activation period shall be studied.</w:t>
            </w:r>
          </w:p>
          <w:p>
            <w:pPr>
              <w:pStyle w:val="29"/>
              <w:keepNext w:val="0"/>
              <w:keepLines w:val="0"/>
              <w:pageBreakBefore w:val="0"/>
              <w:widowControl w:val="0"/>
              <w:numPr>
                <w:ilvl w:val="2"/>
                <w:numId w:val="5"/>
              </w:numPr>
              <w:kinsoku/>
              <w:wordWrap/>
              <w:overflowPunct/>
              <w:topLinePunct w:val="0"/>
              <w:autoSpaceDE/>
              <w:autoSpaceDN/>
              <w:bidi w:val="0"/>
              <w:adjustRightInd/>
              <w:snapToGrid/>
              <w:spacing w:after="0" w:line="240" w:lineRule="auto"/>
              <w:ind w:hanging="363" w:firstLineChars="0"/>
              <w:textAlignment w:val="auto"/>
              <w:rPr>
                <w:rFonts w:eastAsiaTheme="minorEastAsia"/>
                <w:bCs/>
              </w:rPr>
            </w:pPr>
            <w:r>
              <w:rPr>
                <w:rFonts w:eastAsiaTheme="minorEastAsia"/>
                <w:bCs/>
              </w:rPr>
              <w:t xml:space="preserve">The UE shall be scheduled by the network immediately after L1-RSRP reporting. </w:t>
            </w:r>
          </w:p>
          <w:p>
            <w:pPr>
              <w:pStyle w:val="29"/>
              <w:keepNext w:val="0"/>
              <w:keepLines w:val="0"/>
              <w:pageBreakBefore w:val="0"/>
              <w:widowControl w:val="0"/>
              <w:numPr>
                <w:ilvl w:val="2"/>
                <w:numId w:val="5"/>
              </w:numPr>
              <w:kinsoku/>
              <w:wordWrap/>
              <w:overflowPunct/>
              <w:topLinePunct w:val="0"/>
              <w:autoSpaceDE/>
              <w:autoSpaceDN/>
              <w:bidi w:val="0"/>
              <w:adjustRightInd/>
              <w:snapToGrid/>
              <w:spacing w:after="0" w:line="240" w:lineRule="auto"/>
              <w:ind w:hanging="363" w:firstLineChars="0"/>
              <w:textAlignment w:val="auto"/>
              <w:rPr>
                <w:rFonts w:hint="default"/>
                <w:vertAlign w:val="baseline"/>
                <w:lang w:val="en-US" w:eastAsia="zh-CN"/>
              </w:rPr>
            </w:pPr>
            <w:r>
              <w:rPr>
                <w:rFonts w:eastAsiaTheme="minorEastAsia"/>
                <w:bCs/>
              </w:rPr>
              <w:t>The UE is allowed to be scheduled by the network after L3 measurement during cell detection when activating an FR2 unknown SCell.</w:t>
            </w:r>
          </w:p>
        </w:tc>
      </w:tr>
    </w:tbl>
    <w:p>
      <w:pPr>
        <w:pStyle w:val="4"/>
        <w:rPr>
          <w:rFonts w:hint="eastAsia" w:eastAsia="宋体"/>
          <w:bCs/>
          <w:color w:val="auto"/>
          <w:sz w:val="20"/>
          <w:szCs w:val="20"/>
          <w:lang w:val="en-US" w:eastAsia="zh-CN"/>
        </w:rPr>
      </w:pPr>
      <w:r>
        <w:rPr>
          <w:rFonts w:hint="eastAsia" w:eastAsia="宋体"/>
          <w:bCs/>
          <w:color w:val="auto"/>
          <w:sz w:val="20"/>
          <w:szCs w:val="20"/>
          <w:lang w:val="en-US" w:eastAsia="zh-CN"/>
        </w:rPr>
        <w:t>With respect to the general description of SCell activation procedure, it is specified in [5]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rFonts w:hint="default" w:eastAsia="宋体"/>
                <w:bCs/>
                <w:color w:val="auto"/>
                <w:sz w:val="20"/>
                <w:szCs w:val="20"/>
                <w:vertAlign w:val="baseline"/>
                <w:lang w:val="en-US" w:eastAsia="zh-CN"/>
              </w:rPr>
            </w:pPr>
            <w:r>
              <w:t xml:space="preserve">Upon receiving SCell activation command in slot </w:t>
            </w:r>
            <w:r>
              <w:rPr>
                <w:i/>
              </w:rPr>
              <w:t>n</w:t>
            </w:r>
            <w:r>
              <w:t>, the UE shall be capable to</w:t>
            </w:r>
            <w:r>
              <w:rPr>
                <w:highlight w:val="none"/>
              </w:rPr>
              <w:t xml:space="preserve"> transmit valid CSI report and apply actions related to the activation command for the SCell being activated no later than</w:t>
            </w:r>
            <w:r>
              <w:t xml:space="preserve">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activation_time</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CSI_Reporting</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rFonts w:hint="eastAsia"/>
                <w:lang w:val="en-US" w:eastAsia="zh-CN"/>
              </w:rPr>
              <w:t>.</w:t>
            </w:r>
          </w:p>
        </w:tc>
      </w:tr>
    </w:tbl>
    <w:p>
      <w:pPr>
        <w:pStyle w:val="4"/>
        <w:rPr>
          <w:rFonts w:hint="eastAsia" w:eastAsia="宋体"/>
          <w:bCs/>
          <w:color w:val="auto"/>
          <w:sz w:val="20"/>
          <w:szCs w:val="20"/>
          <w:lang w:val="en-US" w:eastAsia="zh-CN"/>
        </w:rPr>
      </w:pPr>
      <w:r>
        <w:rPr>
          <w:rFonts w:hint="eastAsia" w:eastAsia="宋体"/>
          <w:bCs/>
          <w:color w:val="auto"/>
          <w:sz w:val="20"/>
          <w:szCs w:val="20"/>
          <w:lang w:val="en-US" w:eastAsia="zh-CN"/>
        </w:rPr>
        <w:t xml:space="preserve">Based on the analysis on the components of </w:t>
      </w:r>
      <w:r>
        <w:rPr>
          <w:b w:val="0"/>
          <w:bCs w:val="0"/>
        </w:rPr>
        <w:t>T</w:t>
      </w:r>
      <w:r>
        <w:rPr>
          <w:b w:val="0"/>
          <w:bCs w:val="0"/>
          <w:vertAlign w:val="subscript"/>
        </w:rPr>
        <w:t>activation_time</w:t>
      </w:r>
      <w:r>
        <w:rPr>
          <w:rFonts w:hint="eastAsia" w:eastAsia="宋体"/>
          <w:bCs/>
          <w:color w:val="auto"/>
          <w:sz w:val="20"/>
          <w:szCs w:val="20"/>
          <w:lang w:val="en-US" w:eastAsia="zh-CN"/>
        </w:rPr>
        <w:t xml:space="preserve">, it can be shown that both the CSI measurement and CSI reporting are not involved in the SCell activation procedure. Which can also be verified from the above two individual terminology of </w:t>
      </w:r>
      <w:r>
        <w:rPr>
          <w:b w:val="0"/>
          <w:bCs w:val="0"/>
        </w:rPr>
        <w:t>T</w:t>
      </w:r>
      <w:r>
        <w:rPr>
          <w:b w:val="0"/>
          <w:bCs w:val="0"/>
          <w:vertAlign w:val="subscript"/>
        </w:rPr>
        <w:t>activation_time</w:t>
      </w:r>
      <w:r>
        <w:rPr>
          <w:rFonts w:hint="eastAsia" w:eastAsia="宋体"/>
          <w:bCs/>
          <w:color w:val="auto"/>
          <w:sz w:val="20"/>
          <w:szCs w:val="20"/>
          <w:lang w:val="en-US" w:eastAsia="zh-CN"/>
        </w:rPr>
        <w:t xml:space="preserve"> and </w:t>
      </w:r>
      <w:r>
        <w:t>T</w:t>
      </w:r>
      <w:r>
        <w:rPr>
          <w:vertAlign w:val="subscript"/>
        </w:rPr>
        <w:t>CSI_reporting</w:t>
      </w:r>
      <w:r>
        <w:rPr>
          <w:rFonts w:hint="eastAsia" w:eastAsia="宋体"/>
          <w:bCs/>
          <w:color w:val="auto"/>
          <w:sz w:val="20"/>
          <w:szCs w:val="20"/>
          <w:lang w:val="en-US" w:eastAsia="zh-CN"/>
        </w:rPr>
        <w:t>.</w:t>
      </w: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 xml:space="preserve">The definition of </w:t>
      </w:r>
      <w:r>
        <w:t>T</w:t>
      </w:r>
      <w:r>
        <w:rPr>
          <w:vertAlign w:val="subscript"/>
        </w:rPr>
        <w:t>CSI_reporting</w:t>
      </w:r>
      <w:r>
        <w:rPr>
          <w:rFonts w:hint="eastAsia" w:eastAsia="宋体"/>
          <w:bCs/>
          <w:color w:val="auto"/>
          <w:sz w:val="20"/>
          <w:szCs w:val="20"/>
          <w:lang w:val="en-US" w:eastAsia="zh-CN"/>
        </w:rPr>
        <w:t xml:space="preserve"> is specified as below in [5]: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rFonts w:hint="eastAsia" w:eastAsia="宋体"/>
                <w:bCs/>
                <w:color w:val="auto"/>
                <w:sz w:val="20"/>
                <w:szCs w:val="20"/>
                <w:vertAlign w:val="baseline"/>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w:t>
            </w:r>
            <w:r>
              <w:rPr>
                <w:rFonts w:hint="eastAsia" w:eastAsia="宋体"/>
                <w:lang w:val="en-US" w:eastAsia="zh-CN"/>
              </w:rPr>
              <w:t>.</w:t>
            </w:r>
          </w:p>
        </w:tc>
      </w:tr>
    </w:tbl>
    <w:p>
      <w:pPr>
        <w:pStyle w:val="4"/>
        <w:rPr>
          <w:rFonts w:hint="eastAsia" w:eastAsia="宋体"/>
          <w:bCs/>
          <w:color w:val="auto"/>
          <w:sz w:val="20"/>
          <w:szCs w:val="20"/>
          <w:lang w:val="en-US" w:eastAsia="zh-CN"/>
        </w:rPr>
      </w:pPr>
      <w:r>
        <w:rPr>
          <w:rFonts w:hint="eastAsia" w:eastAsia="宋体"/>
          <w:bCs/>
          <w:color w:val="auto"/>
          <w:sz w:val="20"/>
          <w:szCs w:val="20"/>
          <w:lang w:val="en-US" w:eastAsia="zh-CN"/>
        </w:rPr>
        <w:t>So in our opinion, there is not any restriction to limit when to schedule the to-be-activated SCell according to the specification[5]. We agree with the description in Option 1 that the early scheduling is network implementation and it</w:t>
      </w:r>
      <w:r>
        <w:rPr>
          <w:rFonts w:hint="default" w:eastAsia="宋体"/>
          <w:bCs/>
          <w:color w:val="auto"/>
          <w:sz w:val="20"/>
          <w:szCs w:val="20"/>
          <w:lang w:val="en-US" w:eastAsia="zh-CN"/>
        </w:rPr>
        <w:t>’</w:t>
      </w:r>
      <w:r>
        <w:rPr>
          <w:rFonts w:hint="eastAsia" w:eastAsia="宋体"/>
          <w:bCs/>
          <w:color w:val="auto"/>
          <w:sz w:val="20"/>
          <w:szCs w:val="20"/>
          <w:lang w:val="en-US" w:eastAsia="zh-CN"/>
        </w:rPr>
        <w:t>s not precluded in existing SCell activation requirement.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According to the specification, not any restriction to limit when to schedule the to-be-activated SCell. The early scheduling is network implementation and it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not precluded in existing SCell activation requirement.</w:t>
      </w:r>
    </w:p>
    <w:p>
      <w:pPr>
        <w:pStyle w:val="4"/>
        <w:rPr>
          <w:rFonts w:hint="default" w:eastAsia="宋体" w:cs="Times New Roman"/>
          <w:b/>
          <w:bCs/>
          <w:color w:val="auto"/>
          <w:sz w:val="20"/>
          <w:szCs w:val="20"/>
          <w:highlight w:val="none"/>
          <w:lang w:val="en-US" w:eastAsia="zh-CN" w:bidi="ar-SA"/>
        </w:rPr>
      </w:pPr>
      <w:r>
        <w:rPr>
          <w:rFonts w:hint="eastAsia" w:eastAsia="宋体"/>
          <w:bCs/>
          <w:color w:val="auto"/>
          <w:sz w:val="20"/>
          <w:szCs w:val="20"/>
          <w:lang w:val="en-US" w:eastAsia="zh-CN"/>
        </w:rPr>
        <w:t>For details, for FR2, once the NW can determine the beam info and some signal quality info such as RSRP after L1-RSRP report, the initial scheduling can be decided by the NW. For FR1, once the signal quality info derived by NW, the initial scheduling is possible.</w:t>
      </w:r>
    </w:p>
    <w:p>
      <w:pPr>
        <w:pStyle w:val="4"/>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8: For FR2, the initial scheduling can be decided by the NW after receiving the beam info and signal quality info after L1-RSRP report. For FR1, once the signal quality info derived by NW, the initial scheduling is possible.</w:t>
      </w:r>
      <w:bookmarkStart w:id="2" w:name="_GoBack"/>
      <w:bookmarkEnd w:id="2"/>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The inter-band CA TAE performance in FR1 could be between 10ns and 65ns and these values could be further optimized with pre-compensation algorithm and higher granularity sampling clock in the practice.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SCell activation delay requirement could be optimized by reusing the timing info of another FR1 inter-band active serving cell. </w:t>
      </w:r>
    </w:p>
    <w:p>
      <w:pPr>
        <w:pStyle w:val="4"/>
        <w:rPr>
          <w:lang w:eastAsia="zh-CN"/>
        </w:rPr>
      </w:pPr>
      <w:r>
        <w:rPr>
          <w:rFonts w:hint="eastAsia" w:eastAsia="宋体" w:cs="Times New Roman"/>
          <w:b/>
          <w:bCs/>
          <w:color w:val="auto"/>
          <w:sz w:val="20"/>
          <w:szCs w:val="20"/>
          <w:highlight w:val="none"/>
          <w:lang w:val="en-US" w:eastAsia="zh-CN" w:bidi="ar-SA"/>
        </w:rPr>
        <w:t xml:space="preserve">Proposal 2: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4"/>
        <w:rPr>
          <w:lang w:eastAsia="zh-CN"/>
        </w:rPr>
      </w:pPr>
      <w:r>
        <w:rPr>
          <w:rFonts w:hint="eastAsia" w:eastAsia="宋体" w:cs="Times New Roman"/>
          <w:b/>
          <w:bCs/>
          <w:color w:val="auto"/>
          <w:sz w:val="20"/>
          <w:szCs w:val="20"/>
          <w:highlight w:val="none"/>
          <w:lang w:val="en-US" w:eastAsia="zh-CN" w:bidi="ar-SA"/>
        </w:rPr>
        <w:t xml:space="preserve">Proposal 3: Under the actual inter-band CA BS architecture and limited to the co-located deployment, in fact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is feasible to inter-band CA case.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So as to extend the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 xml:space="preserve">under inter-band CA, introducing a new UE capability or reusing the existing </w:t>
      </w:r>
      <w:r>
        <w:rPr>
          <w:rFonts w:hint="eastAsia" w:eastAsia="宋体" w:cs="Times New Roman"/>
          <w:b/>
          <w:bCs/>
          <w:i/>
          <w:iCs/>
          <w:color w:val="auto"/>
          <w:sz w:val="20"/>
          <w:szCs w:val="20"/>
          <w:highlight w:val="none"/>
          <w:lang w:val="en-US" w:eastAsia="zh-CN" w:bidi="ar-SA"/>
        </w:rPr>
        <w:t xml:space="preserve">ScellwithoutSSB </w:t>
      </w:r>
      <w:r>
        <w:rPr>
          <w:rFonts w:hint="eastAsia" w:eastAsia="宋体" w:cs="Times New Roman"/>
          <w:b/>
          <w:bCs/>
          <w:color w:val="auto"/>
          <w:sz w:val="20"/>
          <w:szCs w:val="20"/>
          <w:highlight w:val="none"/>
          <w:lang w:val="en-US" w:eastAsia="zh-CN" w:bidi="ar-SA"/>
        </w:rPr>
        <w:t>are both candidates.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Aim to align the understanding between UE and NW, two candidates can be considered: NW indicates a signalling to inform UE that the same timing can be assumed between inter-band case or not; or expand the definition of QCLed-typeC to indicate the RTD between the SCell being activated and the inter-band active serving cell is within a small range, e.g., ±260ns.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It is feasible to reuse the timing info between FR1 inter-band serving cells. The feasibility can be verified from the perspective of implementation architecture and NW signalling.</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According to the specification, not any restriction to limit when to schedule the to-be-activated SCell. the early scheduling is network implementation and it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not precluded in existing SCell activation requirement.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For FR2, the initial scheduling can be decided by the NW after receiving the beam info and signal quality info after L1-RSRP report. For FR1, once the signal quality info derived by NW, the initial scheduling is possible.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10"/>
        <w:numPr>
          <w:ilvl w:val="0"/>
          <w:numId w:val="8"/>
        </w:numPr>
        <w:ind w:left="0" w:leftChars="0" w:firstLine="0" w:firstLineChars="0"/>
        <w:rPr>
          <w:rFonts w:hint="eastAsia"/>
          <w:color w:val="auto"/>
          <w:lang w:val="en-US" w:eastAsia="zh-CN"/>
        </w:rPr>
      </w:pPr>
      <w:r>
        <w:rPr>
          <w:rFonts w:hint="eastAsia"/>
          <w:color w:val="auto"/>
          <w:lang w:val="en-US" w:eastAsia="zh-CN"/>
        </w:rPr>
        <w:t xml:space="preserve">R4-2220440 </w:t>
      </w:r>
      <w:r>
        <w:rPr>
          <w:rFonts w:hint="default"/>
          <w:color w:val="auto"/>
          <w:lang w:val="en-US" w:eastAsia="zh-CN"/>
        </w:rPr>
        <w:t>“WF on Even Further RRM enhancement for NR and MR-DC – Part 1”</w:t>
      </w:r>
      <w:r>
        <w:rPr>
          <w:rFonts w:hint="eastAsia"/>
          <w:color w:val="auto"/>
          <w:lang w:val="en-US" w:eastAsia="zh-CN"/>
        </w:rPr>
        <w:t>, Apple</w:t>
      </w:r>
    </w:p>
    <w:p>
      <w:pPr>
        <w:pStyle w:val="10"/>
        <w:numPr>
          <w:ilvl w:val="0"/>
          <w:numId w:val="8"/>
        </w:numPr>
        <w:ind w:left="0" w:leftChars="0" w:firstLine="0" w:firstLineChars="0"/>
        <w:rPr>
          <w:rFonts w:hint="eastAsia"/>
          <w:color w:val="auto"/>
          <w:lang w:val="en-US" w:eastAsia="zh-CN"/>
        </w:rPr>
      </w:pPr>
      <w:r>
        <w:rPr>
          <w:rFonts w:hint="eastAsia"/>
          <w:color w:val="auto"/>
          <w:lang w:val="en-US" w:eastAsia="zh-CN"/>
        </w:rPr>
        <w:t xml:space="preserve">R4-2303228 </w:t>
      </w:r>
      <w:r>
        <w:rPr>
          <w:rFonts w:hint="default"/>
          <w:color w:val="auto"/>
          <w:lang w:val="en-US" w:eastAsia="zh-CN"/>
        </w:rPr>
        <w:t>“Way forward on R18 RRM enhancement (part 1)”</w:t>
      </w:r>
      <w:r>
        <w:rPr>
          <w:rFonts w:hint="eastAsia"/>
          <w:color w:val="auto"/>
          <w:lang w:val="en-US" w:eastAsia="zh-CN"/>
        </w:rPr>
        <w:t>, Apple</w:t>
      </w:r>
    </w:p>
    <w:p>
      <w:pPr>
        <w:pStyle w:val="10"/>
        <w:numPr>
          <w:ilvl w:val="0"/>
          <w:numId w:val="8"/>
        </w:numPr>
        <w:ind w:left="0" w:leftChars="0" w:firstLine="0" w:firstLineChars="0"/>
        <w:rPr>
          <w:rFonts w:hint="default"/>
          <w:color w:val="auto"/>
          <w:lang w:val="en-US" w:eastAsia="zh-CN"/>
        </w:rPr>
      </w:pPr>
      <w:r>
        <w:rPr>
          <w:rFonts w:hint="eastAsia"/>
          <w:color w:val="auto"/>
          <w:lang w:val="en-US" w:eastAsia="zh-CN"/>
        </w:rPr>
        <w:t xml:space="preserve">R4-2214345 </w:t>
      </w:r>
      <w:r>
        <w:rPr>
          <w:rFonts w:hint="default"/>
          <w:color w:val="auto"/>
          <w:lang w:val="en-US" w:eastAsia="zh-CN"/>
        </w:rPr>
        <w:t>“WF on R18 eFeRRM”</w:t>
      </w:r>
      <w:r>
        <w:rPr>
          <w:rFonts w:hint="eastAsia"/>
          <w:color w:val="auto"/>
          <w:lang w:val="en-US" w:eastAsia="zh-CN"/>
        </w:rPr>
        <w:t>, Apple</w:t>
      </w:r>
    </w:p>
    <w:p>
      <w:pPr>
        <w:pStyle w:val="10"/>
        <w:numPr>
          <w:ilvl w:val="0"/>
          <w:numId w:val="8"/>
        </w:numPr>
        <w:ind w:left="0" w:leftChars="0" w:firstLine="0" w:firstLineChars="0"/>
        <w:rPr>
          <w:rFonts w:hint="default"/>
          <w:color w:val="auto"/>
          <w:lang w:val="en-US" w:eastAsia="zh-CN"/>
        </w:rPr>
      </w:pPr>
      <w:r>
        <w:rPr>
          <w:rFonts w:hint="eastAsia"/>
          <w:color w:val="auto"/>
          <w:lang w:val="en-US" w:eastAsia="zh-CN"/>
        </w:rPr>
        <w:t>TS 38.133-h80</w:t>
      </w:r>
    </w:p>
    <w:p>
      <w:pPr>
        <w:pStyle w:val="10"/>
        <w:numPr>
          <w:ilvl w:val="0"/>
          <w:numId w:val="0"/>
        </w:numPr>
        <w:ind w:leftChars="0"/>
        <w:rPr>
          <w:rFonts w:hint="default" w:eastAsia="宋体"/>
          <w:color w:val="auto"/>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062D93F"/>
    <w:multiLevelType w:val="singleLevel"/>
    <w:tmpl w:val="1062D93F"/>
    <w:lvl w:ilvl="0" w:tentative="0">
      <w:start w:val="1"/>
      <w:numFmt w:val="bullet"/>
      <w:lvlText w:val=""/>
      <w:lvlJc w:val="left"/>
      <w:pPr>
        <w:ind w:left="420" w:hanging="420"/>
      </w:pPr>
      <w:rPr>
        <w:rFonts w:hint="default" w:ascii="Wingdings" w:hAnsi="Wingdings"/>
      </w:rPr>
    </w:lvl>
  </w:abstractNum>
  <w:abstractNum w:abstractNumId="2">
    <w:nsid w:val="159C2DC0"/>
    <w:multiLevelType w:val="multilevel"/>
    <w:tmpl w:val="159C2DC0"/>
    <w:lvl w:ilvl="0" w:tentative="0">
      <w:start w:val="302"/>
      <w:numFmt w:val="bullet"/>
      <w:lvlText w:val="-"/>
      <w:lvlJc w:val="left"/>
      <w:pPr>
        <w:tabs>
          <w:tab w:val="left" w:pos="-420"/>
        </w:tabs>
        <w:ind w:left="720" w:hanging="360"/>
      </w:pPr>
      <w:rPr>
        <w:rFonts w:hint="default" w:ascii="Times New Roman" w:hAnsi="Times New Roman"/>
      </w:rPr>
    </w:lvl>
    <w:lvl w:ilvl="1" w:tentative="0">
      <w:start w:val="1"/>
      <w:numFmt w:val="bullet"/>
      <w:lvlText w:val="o"/>
      <w:lvlJc w:val="left"/>
      <w:pPr>
        <w:tabs>
          <w:tab w:val="left" w:pos="-420"/>
        </w:tabs>
        <w:ind w:left="1440" w:hanging="360"/>
      </w:pPr>
      <w:rPr>
        <w:rFonts w:hint="default" w:ascii="Courier New" w:hAnsi="Courier New" w:cs="Courier New"/>
      </w:rPr>
    </w:lvl>
    <w:lvl w:ilvl="2" w:tentative="0">
      <w:start w:val="1"/>
      <w:numFmt w:val="bullet"/>
      <w:lvlText w:val=""/>
      <w:lvlJc w:val="left"/>
      <w:pPr>
        <w:tabs>
          <w:tab w:val="left" w:pos="-420"/>
        </w:tabs>
        <w:ind w:left="2160" w:hanging="360"/>
      </w:pPr>
      <w:rPr>
        <w:rFonts w:hint="default" w:ascii="Wingdings" w:hAnsi="Wingdings"/>
      </w:rPr>
    </w:lvl>
    <w:lvl w:ilvl="3" w:tentative="0">
      <w:start w:val="1"/>
      <w:numFmt w:val="bullet"/>
      <w:lvlText w:val=""/>
      <w:lvlJc w:val="left"/>
      <w:pPr>
        <w:tabs>
          <w:tab w:val="left" w:pos="-420"/>
        </w:tabs>
        <w:ind w:left="2880" w:hanging="360"/>
      </w:pPr>
      <w:rPr>
        <w:rFonts w:hint="default" w:ascii="Symbol" w:hAnsi="Symbol"/>
      </w:rPr>
    </w:lvl>
    <w:lvl w:ilvl="4" w:tentative="0">
      <w:start w:val="1"/>
      <w:numFmt w:val="bullet"/>
      <w:lvlText w:val="o"/>
      <w:lvlJc w:val="left"/>
      <w:pPr>
        <w:tabs>
          <w:tab w:val="left" w:pos="-420"/>
        </w:tabs>
        <w:ind w:left="3600" w:hanging="360"/>
      </w:pPr>
      <w:rPr>
        <w:rFonts w:hint="default" w:ascii="Courier New" w:hAnsi="Courier New" w:cs="Courier New"/>
      </w:rPr>
    </w:lvl>
    <w:lvl w:ilvl="5" w:tentative="0">
      <w:start w:val="1"/>
      <w:numFmt w:val="bullet"/>
      <w:lvlText w:val=""/>
      <w:lvlJc w:val="left"/>
      <w:pPr>
        <w:tabs>
          <w:tab w:val="left" w:pos="-420"/>
        </w:tabs>
        <w:ind w:left="4320" w:hanging="360"/>
      </w:pPr>
      <w:rPr>
        <w:rFonts w:hint="default" w:ascii="Wingdings" w:hAnsi="Wingdings"/>
      </w:rPr>
    </w:lvl>
    <w:lvl w:ilvl="6" w:tentative="0">
      <w:start w:val="1"/>
      <w:numFmt w:val="bullet"/>
      <w:lvlText w:val=""/>
      <w:lvlJc w:val="left"/>
      <w:pPr>
        <w:tabs>
          <w:tab w:val="left" w:pos="-420"/>
        </w:tabs>
        <w:ind w:left="5040" w:hanging="360"/>
      </w:pPr>
      <w:rPr>
        <w:rFonts w:hint="default" w:ascii="Symbol" w:hAnsi="Symbol"/>
      </w:rPr>
    </w:lvl>
    <w:lvl w:ilvl="7" w:tentative="0">
      <w:start w:val="1"/>
      <w:numFmt w:val="bullet"/>
      <w:lvlText w:val="o"/>
      <w:lvlJc w:val="left"/>
      <w:pPr>
        <w:tabs>
          <w:tab w:val="left" w:pos="-420"/>
        </w:tabs>
        <w:ind w:left="5760" w:hanging="360"/>
      </w:pPr>
      <w:rPr>
        <w:rFonts w:hint="default" w:ascii="Courier New" w:hAnsi="Courier New" w:cs="Courier New"/>
      </w:rPr>
    </w:lvl>
    <w:lvl w:ilvl="8" w:tentative="0">
      <w:start w:val="1"/>
      <w:numFmt w:val="bullet"/>
      <w:lvlText w:val=""/>
      <w:lvlJc w:val="left"/>
      <w:pPr>
        <w:tabs>
          <w:tab w:val="left" w:pos="-420"/>
        </w:tabs>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1260"/>
        </w:tabs>
        <w:ind w:left="-324" w:hanging="360"/>
      </w:pPr>
      <w:rPr>
        <w:rFonts w:hint="default" w:ascii="Symbol" w:hAnsi="Symbol"/>
      </w:rPr>
    </w:lvl>
    <w:lvl w:ilvl="1" w:tentative="0">
      <w:start w:val="1"/>
      <w:numFmt w:val="bullet"/>
      <w:lvlText w:val="o"/>
      <w:lvlJc w:val="left"/>
      <w:pPr>
        <w:tabs>
          <w:tab w:val="left" w:pos="-1260"/>
        </w:tabs>
        <w:ind w:left="396" w:hanging="360"/>
      </w:pPr>
      <w:rPr>
        <w:rFonts w:hint="default" w:ascii="Courier New" w:hAnsi="Courier New" w:cs="Courier New"/>
      </w:rPr>
    </w:lvl>
    <w:lvl w:ilvl="2" w:tentative="0">
      <w:start w:val="1"/>
      <w:numFmt w:val="bullet"/>
      <w:lvlText w:val=""/>
      <w:lvlJc w:val="left"/>
      <w:pPr>
        <w:tabs>
          <w:tab w:val="left" w:pos="-1260"/>
        </w:tabs>
        <w:ind w:left="1116" w:hanging="360"/>
      </w:pPr>
      <w:rPr>
        <w:rFonts w:hint="default" w:ascii="Wingdings" w:hAnsi="Wingdings"/>
      </w:rPr>
    </w:lvl>
    <w:lvl w:ilvl="3" w:tentative="0">
      <w:start w:val="1"/>
      <w:numFmt w:val="bullet"/>
      <w:lvlText w:val=""/>
      <w:lvlJc w:val="left"/>
      <w:pPr>
        <w:tabs>
          <w:tab w:val="left" w:pos="-1260"/>
        </w:tabs>
        <w:ind w:left="1836" w:hanging="360"/>
      </w:pPr>
      <w:rPr>
        <w:rFonts w:hint="default" w:ascii="Symbol" w:hAnsi="Symbol"/>
      </w:rPr>
    </w:lvl>
    <w:lvl w:ilvl="4" w:tentative="0">
      <w:start w:val="1"/>
      <w:numFmt w:val="bullet"/>
      <w:lvlText w:val="o"/>
      <w:lvlJc w:val="left"/>
      <w:pPr>
        <w:tabs>
          <w:tab w:val="left" w:pos="-1260"/>
        </w:tabs>
        <w:ind w:left="2556" w:hanging="360"/>
      </w:pPr>
      <w:rPr>
        <w:rFonts w:hint="default" w:ascii="Courier New" w:hAnsi="Courier New" w:cs="Courier New"/>
      </w:rPr>
    </w:lvl>
    <w:lvl w:ilvl="5" w:tentative="0">
      <w:start w:val="1"/>
      <w:numFmt w:val="bullet"/>
      <w:lvlText w:val=""/>
      <w:lvlJc w:val="left"/>
      <w:pPr>
        <w:tabs>
          <w:tab w:val="left" w:pos="-1260"/>
        </w:tabs>
        <w:ind w:left="3276" w:hanging="360"/>
      </w:pPr>
      <w:rPr>
        <w:rFonts w:hint="default" w:ascii="Wingdings" w:hAnsi="Wingdings"/>
      </w:rPr>
    </w:lvl>
    <w:lvl w:ilvl="6" w:tentative="0">
      <w:start w:val="1"/>
      <w:numFmt w:val="bullet"/>
      <w:lvlText w:val=""/>
      <w:lvlJc w:val="left"/>
      <w:pPr>
        <w:tabs>
          <w:tab w:val="left" w:pos="-1260"/>
        </w:tabs>
        <w:ind w:left="3996" w:hanging="360"/>
      </w:pPr>
      <w:rPr>
        <w:rFonts w:hint="default" w:ascii="Symbol" w:hAnsi="Symbol"/>
      </w:rPr>
    </w:lvl>
    <w:lvl w:ilvl="7" w:tentative="0">
      <w:start w:val="1"/>
      <w:numFmt w:val="bullet"/>
      <w:lvlText w:val="o"/>
      <w:lvlJc w:val="left"/>
      <w:pPr>
        <w:tabs>
          <w:tab w:val="left" w:pos="-1260"/>
        </w:tabs>
        <w:ind w:left="4716" w:hanging="360"/>
      </w:pPr>
      <w:rPr>
        <w:rFonts w:hint="default" w:ascii="Courier New" w:hAnsi="Courier New" w:cs="Courier New"/>
      </w:rPr>
    </w:lvl>
    <w:lvl w:ilvl="8" w:tentative="0">
      <w:start w:val="1"/>
      <w:numFmt w:val="bullet"/>
      <w:lvlText w:val=""/>
      <w:lvlJc w:val="left"/>
      <w:pPr>
        <w:tabs>
          <w:tab w:val="left" w:pos="-1260"/>
        </w:tabs>
        <w:ind w:left="5436"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3"/>
  </w:num>
  <w:num w:numId="4">
    <w:abstractNumId w:val="5"/>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6E699E"/>
    <w:rsid w:val="09716BCA"/>
    <w:rsid w:val="09D64B23"/>
    <w:rsid w:val="09E644B8"/>
    <w:rsid w:val="0B12013A"/>
    <w:rsid w:val="0B3D3C2F"/>
    <w:rsid w:val="0BB0429A"/>
    <w:rsid w:val="0BFF5FC6"/>
    <w:rsid w:val="0C394019"/>
    <w:rsid w:val="0D2A60F1"/>
    <w:rsid w:val="0E352832"/>
    <w:rsid w:val="10997F43"/>
    <w:rsid w:val="10DE7BAE"/>
    <w:rsid w:val="120774A3"/>
    <w:rsid w:val="14006D19"/>
    <w:rsid w:val="141E2261"/>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9E431C5"/>
    <w:rsid w:val="1AD01A1B"/>
    <w:rsid w:val="1B61065A"/>
    <w:rsid w:val="1BBF3927"/>
    <w:rsid w:val="1BCB6881"/>
    <w:rsid w:val="1C177B08"/>
    <w:rsid w:val="1C9001C6"/>
    <w:rsid w:val="1CBA2101"/>
    <w:rsid w:val="1D0573D7"/>
    <w:rsid w:val="1D153DC4"/>
    <w:rsid w:val="1D223E0B"/>
    <w:rsid w:val="1E132F88"/>
    <w:rsid w:val="1E2867E9"/>
    <w:rsid w:val="1E853F6F"/>
    <w:rsid w:val="1E9C7BCC"/>
    <w:rsid w:val="1ECC1E3C"/>
    <w:rsid w:val="1F396C30"/>
    <w:rsid w:val="200825A0"/>
    <w:rsid w:val="20933D8F"/>
    <w:rsid w:val="21014C39"/>
    <w:rsid w:val="21244EB1"/>
    <w:rsid w:val="213964D8"/>
    <w:rsid w:val="21595D04"/>
    <w:rsid w:val="21F13629"/>
    <w:rsid w:val="2305377E"/>
    <w:rsid w:val="23522F16"/>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AE0227"/>
    <w:rsid w:val="2DB201FB"/>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300544"/>
    <w:rsid w:val="3D4315FC"/>
    <w:rsid w:val="3D5E7AA8"/>
    <w:rsid w:val="3D6F2596"/>
    <w:rsid w:val="3F836EE6"/>
    <w:rsid w:val="405F175E"/>
    <w:rsid w:val="40C765F3"/>
    <w:rsid w:val="41A2534B"/>
    <w:rsid w:val="42F869D2"/>
    <w:rsid w:val="43061D16"/>
    <w:rsid w:val="43285B25"/>
    <w:rsid w:val="43553536"/>
    <w:rsid w:val="443A3304"/>
    <w:rsid w:val="44972678"/>
    <w:rsid w:val="44E85A06"/>
    <w:rsid w:val="451632B9"/>
    <w:rsid w:val="457B4C4B"/>
    <w:rsid w:val="45906394"/>
    <w:rsid w:val="45F60A50"/>
    <w:rsid w:val="46142D0C"/>
    <w:rsid w:val="46970A81"/>
    <w:rsid w:val="4697115A"/>
    <w:rsid w:val="46B036BF"/>
    <w:rsid w:val="47282363"/>
    <w:rsid w:val="47701BD2"/>
    <w:rsid w:val="48346B27"/>
    <w:rsid w:val="49DC4EAC"/>
    <w:rsid w:val="49E55BC5"/>
    <w:rsid w:val="4A170D67"/>
    <w:rsid w:val="4BF24EEB"/>
    <w:rsid w:val="4C1C63D6"/>
    <w:rsid w:val="4C864A35"/>
    <w:rsid w:val="4CD61886"/>
    <w:rsid w:val="4E015C76"/>
    <w:rsid w:val="4E310026"/>
    <w:rsid w:val="4E4A2325"/>
    <w:rsid w:val="4ED56361"/>
    <w:rsid w:val="4F5C5331"/>
    <w:rsid w:val="501A6C55"/>
    <w:rsid w:val="505E1A7C"/>
    <w:rsid w:val="50DD750F"/>
    <w:rsid w:val="51B14BED"/>
    <w:rsid w:val="51F437A2"/>
    <w:rsid w:val="52526454"/>
    <w:rsid w:val="525C1CEF"/>
    <w:rsid w:val="528B5767"/>
    <w:rsid w:val="52D33625"/>
    <w:rsid w:val="53A3105E"/>
    <w:rsid w:val="53C64B93"/>
    <w:rsid w:val="54283FDA"/>
    <w:rsid w:val="54564E31"/>
    <w:rsid w:val="548A6C60"/>
    <w:rsid w:val="55B1164D"/>
    <w:rsid w:val="55B4735E"/>
    <w:rsid w:val="55BB221D"/>
    <w:rsid w:val="55F52EA4"/>
    <w:rsid w:val="56371459"/>
    <w:rsid w:val="56484633"/>
    <w:rsid w:val="58D0053D"/>
    <w:rsid w:val="598C40A0"/>
    <w:rsid w:val="59DA647E"/>
    <w:rsid w:val="5A556E1A"/>
    <w:rsid w:val="5C876D53"/>
    <w:rsid w:val="5E2864D0"/>
    <w:rsid w:val="5E494511"/>
    <w:rsid w:val="5EB44FC0"/>
    <w:rsid w:val="5FBA395F"/>
    <w:rsid w:val="60EC2CBA"/>
    <w:rsid w:val="61CC2D28"/>
    <w:rsid w:val="61F14827"/>
    <w:rsid w:val="62296DAB"/>
    <w:rsid w:val="635902CD"/>
    <w:rsid w:val="635E6E54"/>
    <w:rsid w:val="64706BBE"/>
    <w:rsid w:val="64BE6D26"/>
    <w:rsid w:val="64F2095B"/>
    <w:rsid w:val="65B6141B"/>
    <w:rsid w:val="673945B0"/>
    <w:rsid w:val="67A858DB"/>
    <w:rsid w:val="67FE4166"/>
    <w:rsid w:val="685F373C"/>
    <w:rsid w:val="68C401C3"/>
    <w:rsid w:val="69A833BD"/>
    <w:rsid w:val="6AB215EC"/>
    <w:rsid w:val="6C7172AA"/>
    <w:rsid w:val="6CE16D19"/>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BF5E46"/>
    <w:rsid w:val="75C2004C"/>
    <w:rsid w:val="75C759C1"/>
    <w:rsid w:val="762D64F3"/>
    <w:rsid w:val="763C7B5C"/>
    <w:rsid w:val="766B63D6"/>
    <w:rsid w:val="767E7EFF"/>
    <w:rsid w:val="775B4604"/>
    <w:rsid w:val="77C067C3"/>
    <w:rsid w:val="783F569F"/>
    <w:rsid w:val="78911E31"/>
    <w:rsid w:val="7922350F"/>
    <w:rsid w:val="792B5470"/>
    <w:rsid w:val="793A44B1"/>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List 3"/>
    <w:basedOn w:val="1"/>
    <w:semiHidden/>
    <w:unhideWhenUsed/>
    <w:qFormat/>
    <w:uiPriority w:val="99"/>
    <w:pPr>
      <w:ind w:left="100" w:leftChars="400" w:hanging="200" w:hangingChars="200"/>
      <w:contextualSpacing/>
    </w:p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10"/>
    <w:qFormat/>
    <w:uiPriority w:val="0"/>
  </w:style>
  <w:style w:type="paragraph" w:customStyle="1" w:styleId="59">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2023-04-10T10:03:25Z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